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BE0" w:rsidRDefault="00D97BE0" w:rsidP="00D97BE0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                                                                           </w:t>
      </w:r>
      <w:r w:rsidRPr="00D97BE0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Утверждено</w:t>
      </w:r>
    </w:p>
    <w:p w:rsidR="00D97BE0" w:rsidRDefault="00D97BE0" w:rsidP="00D97BE0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                                                                         </w:t>
      </w:r>
      <w:r w:rsidRPr="00D97BE0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r w:rsidRPr="00D97BE0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приказом директора УЦ «Стимул»</w:t>
      </w:r>
    </w:p>
    <w:p w:rsidR="00D97BE0" w:rsidRDefault="00D97BE0" w:rsidP="00D97BE0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                                                                          </w:t>
      </w:r>
      <w:r w:rsidRPr="00D97BE0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Комаровой В.В. </w:t>
      </w:r>
    </w:p>
    <w:p w:rsidR="00D97BE0" w:rsidRPr="00D97BE0" w:rsidRDefault="00D97BE0" w:rsidP="00D97BE0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                                                                           </w:t>
      </w:r>
      <w:r w:rsidRPr="00D97BE0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№ 96 от 01.12.2025г.</w:t>
      </w:r>
    </w:p>
    <w:p w:rsidR="00D97BE0" w:rsidRPr="00D97BE0" w:rsidRDefault="00D97BE0" w:rsidP="00D97BE0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</w:pPr>
    </w:p>
    <w:p w:rsidR="00D97BE0" w:rsidRDefault="00D97BE0" w:rsidP="00DC147A">
      <w:pPr>
        <w:spacing w:after="0" w:line="240" w:lineRule="auto"/>
        <w:ind w:firstLine="709"/>
        <w:jc w:val="center"/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</w:pPr>
    </w:p>
    <w:p w:rsidR="00DC147A" w:rsidRDefault="00DC147A" w:rsidP="00DC147A">
      <w:pPr>
        <w:spacing w:after="0" w:line="240" w:lineRule="auto"/>
        <w:ind w:firstLine="709"/>
        <w:jc w:val="center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По</w:t>
      </w:r>
      <w:r w:rsidR="008244E9"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ложение о п</w:t>
      </w:r>
      <w:r w:rsidR="00E21B54"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о</w:t>
      </w:r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ряд</w:t>
      </w:r>
      <w:r w:rsidR="008244E9"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ке</w:t>
      </w:r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 xml:space="preserve"> проведения оценки результатов оказания </w:t>
      </w:r>
    </w:p>
    <w:p w:rsidR="00DC147A" w:rsidRDefault="00DC147A" w:rsidP="00DC147A">
      <w:pPr>
        <w:spacing w:after="0" w:line="240" w:lineRule="auto"/>
        <w:ind w:firstLine="709"/>
        <w:jc w:val="center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 xml:space="preserve">на конкурсной основе поддержки некоммерческим неправительственным организациям на развитие гражданского общества </w:t>
      </w:r>
    </w:p>
    <w:p w:rsidR="00DC147A" w:rsidRDefault="00DC147A" w:rsidP="00DC147A">
      <w:pPr>
        <w:spacing w:after="0" w:line="240" w:lineRule="auto"/>
        <w:ind w:firstLine="709"/>
        <w:jc w:val="center"/>
        <w:rPr>
          <w:rFonts w:ascii="PT Astra Serif" w:hAnsi="PT Astra Serif"/>
        </w:rPr>
      </w:pPr>
      <w:proofErr w:type="gramStart"/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в Катав</w:t>
      </w:r>
      <w:proofErr w:type="gramEnd"/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-Ивановском муниципальном районе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/>
          <w:sz w:val="26"/>
          <w:szCs w:val="26"/>
          <w:highlight w:val="white"/>
        </w:rPr>
      </w:pPr>
    </w:p>
    <w:p w:rsidR="00DC147A" w:rsidRDefault="00DC147A" w:rsidP="00DC147A">
      <w:pPr>
        <w:spacing w:after="240" w:line="240" w:lineRule="auto"/>
        <w:ind w:firstLine="709"/>
        <w:jc w:val="center"/>
        <w:outlineLvl w:val="2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I. Общие положения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 1. Настоящ</w:t>
      </w:r>
      <w:r w:rsidR="00E21B54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ее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По</w:t>
      </w:r>
      <w:r w:rsidR="00E21B54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ложение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определяет процесс проведения оценки результатов реализации проектов некоммерческими неправительственными организациями (далее - НКО) в </w:t>
      </w:r>
      <w:r w:rsidRPr="00DC147A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Катав-Ивановском</w:t>
      </w:r>
      <w:r w:rsidRPr="00DC147A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муниципальном районе, получивших на конкурсной </w:t>
      </w:r>
      <w:proofErr w:type="gram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основе  поддержку</w:t>
      </w:r>
      <w:proofErr w:type="gram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в форме субсидий на развитие гражданского общества с использованием средств гранта Губернатора Челябинской области.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2. Оценка результатов проек</w:t>
      </w:r>
      <w:r w:rsidR="00E21B54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тов, предусмотренная настоящим П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оложением, осуществляется в соответствии с Положением о порядке </w:t>
      </w:r>
      <w:proofErr w:type="spell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софинансирования</w:t>
      </w:r>
      <w:proofErr w:type="spell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расходов на оказание на конкурсной основе поддержки некоммерческим неправительственным организациям в муниципальных образованиях Челябинской области в 2023 году, утвержденным приказом Фонда поддержки гражданских инициатив Южного Урала 9 ноября 2022 г. № 156 (далее - Положение).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3. Оце</w:t>
      </w:r>
      <w:r w:rsidR="00E21B54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нке в соответствии с настоящим П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оложением подлежат результаты проектов, реализованных НКО с использованием средств гранта Губернатора Челябинской области.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4. Оценка не проводится в отношении результатов проектов, реализация которых была прекращена досрочно в связи с расторжением Соглашения о предоставлении субсидии с соответствующей НКО (далее - Соглашение).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5. Оценка результатов проектов включает следующие процедуры: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5.1. Оценка результатов проектов К</w:t>
      </w:r>
      <w:r>
        <w:rPr>
          <w:rFonts w:ascii="PT Astra Serif" w:eastAsia="Carlito" w:hAnsi="PT Astra Serif" w:cs="Times New Roman"/>
          <w:sz w:val="26"/>
          <w:szCs w:val="26"/>
          <w:highlight w:val="white"/>
        </w:rPr>
        <w:t xml:space="preserve">онкурсной комиссией </w:t>
      </w:r>
      <w:r>
        <w:rPr>
          <w:rFonts w:ascii="PT Astra Serif" w:eastAsia="Carlito" w:hAnsi="PT Astra Serif" w:cs="Times New Roman"/>
          <w:color w:val="000000"/>
          <w:sz w:val="26"/>
          <w:szCs w:val="26"/>
          <w:highlight w:val="white"/>
        </w:rPr>
        <w:t xml:space="preserve">для предоставления в 2023 году субсидий социально ориентированным некоммерческим организациям на финансовое обеспечение затрат на осуществление деятельности по реализации социально значимых проектов в </w:t>
      </w:r>
      <w:r w:rsidRPr="00DC147A">
        <w:rPr>
          <w:rFonts w:ascii="PT Astra Serif" w:eastAsia="Carlito" w:hAnsi="PT Astra Serif" w:cs="Times New Roman"/>
          <w:color w:val="000000"/>
          <w:sz w:val="26"/>
          <w:szCs w:val="26"/>
        </w:rPr>
        <w:t>Катав-Ивановском</w:t>
      </w:r>
      <w:r w:rsidRPr="00DC147A">
        <w:rPr>
          <w:rFonts w:ascii="PT Astra Serif" w:eastAsia="Carlito" w:hAnsi="PT Astra Serif" w:cs="Times New Roman"/>
          <w:color w:val="000000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/>
          <w:sz w:val="26"/>
          <w:szCs w:val="26"/>
          <w:highlight w:val="white"/>
        </w:rPr>
        <w:t xml:space="preserve">муниципальном районе Челябинской области (приложение 2 к постановлению «Об утверждении Порядка определения объема и предоставления в 2023 году субсидий социально-ориентированным некоммерческим организациям на финансовое обеспечение затрат на осуществление деятельности по реализации социально-значимых проектов в </w:t>
      </w:r>
      <w:r w:rsidRPr="00DC147A">
        <w:rPr>
          <w:rFonts w:ascii="PT Astra Serif" w:eastAsia="Carlito" w:hAnsi="PT Astra Serif" w:cs="Times New Roman"/>
          <w:color w:val="000000"/>
          <w:sz w:val="26"/>
          <w:szCs w:val="26"/>
        </w:rPr>
        <w:t>Катав-Ивановском</w:t>
      </w:r>
      <w:r w:rsidRPr="00DC147A">
        <w:rPr>
          <w:rFonts w:ascii="PT Astra Serif" w:eastAsia="Carlito" w:hAnsi="PT Astra Serif" w:cs="Times New Roman"/>
          <w:color w:val="000000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/>
          <w:sz w:val="26"/>
          <w:szCs w:val="26"/>
          <w:highlight w:val="white"/>
        </w:rPr>
        <w:t>муниципальном районе» от 11.02.2023 №  11) (далее - конкурсная комиссия).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5.2. Оценка результатов проектов в социальных сетях </w:t>
      </w:r>
      <w:r w:rsidRPr="00DC147A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Катав-Ивановско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го</w:t>
      </w:r>
      <w:r w:rsidRPr="00DC147A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муниципального района.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5.3. Вывод главы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 xml:space="preserve">Катав-Ивановского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муниципального района об успешности реализации каждого проекта (приложение к Положению).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5.4. Подведение итогов оценки результатов проектов. 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lastRenderedPageBreak/>
        <w:t>5.5. Подготовка и направление отчета об оценке результатов реализации проектов в Фонд «Центр поддержки гражданских инициатив и развития некоммерческого сектора Челябинской области» (далее - Фонд).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6. Организатором проведения оценки результатов проектов является муниципальный </w:t>
      </w:r>
      <w:proofErr w:type="spell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грантооператор</w:t>
      </w:r>
      <w:proofErr w:type="spell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– Частное образовательное учреждение дополнительного профессионального образования «Учебный центр «Стимул»</w:t>
      </w:r>
      <w:r w:rsid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proofErr w:type="gramStart"/>
      <w:r w:rsid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( ЧОУ</w:t>
      </w:r>
      <w:proofErr w:type="gramEnd"/>
      <w:r w:rsid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ДПО УЦ «Стимул» - далее)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. 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7. Отчет об оценке результатов реализации проектов направляется в Фонд не позднее срока, предусмотренного Положением.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8. Этапы оценки результатов проектов в соответствии с процедурами, предусмотренными подпунктами 5.1 - 5.3 пункта 5 настоящего</w:t>
      </w:r>
      <w:r w:rsid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По</w:t>
      </w:r>
      <w:r w:rsidR="00E21B54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ложения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, осуществляются параллельно.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9. </w:t>
      </w:r>
      <w:r w:rsid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ЧОУ ДПО УЦ «Стимул»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перед началом оценки результатов проектов обеспечивает размещение на сайте </w:t>
      </w:r>
      <w:r w:rsid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организации </w:t>
      </w:r>
      <w:r w:rsid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  <w:lang w:val="en-US"/>
        </w:rPr>
        <w:t xml:space="preserve">stimulcent.ru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информации обо всех реализованных проектах, в том числе, отчетов о реализации проекта.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10. Информация о сроках оценки результатов проектов размещается </w:t>
      </w:r>
      <w:r w:rsidR="000055A6" w:rsidRPr="000055A6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ЧОУ ДПО УЦ «</w:t>
      </w:r>
      <w:proofErr w:type="gramStart"/>
      <w:r w:rsidR="000055A6" w:rsidRPr="000055A6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 xml:space="preserve">Стимул»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на</w:t>
      </w:r>
      <w:proofErr w:type="gram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официальном сайте, в </w:t>
      </w:r>
      <w:proofErr w:type="spell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соцсетях</w:t>
      </w:r>
      <w:proofErr w:type="spell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и средствах массовой информации </w:t>
      </w:r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Катав-Ив</w:t>
      </w:r>
      <w:r w:rsid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ановского муниципального района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 w:cs="Times New Roman"/>
          <w:sz w:val="26"/>
          <w:szCs w:val="26"/>
          <w:highlight w:val="white"/>
        </w:rPr>
      </w:pPr>
    </w:p>
    <w:p w:rsidR="00DC147A" w:rsidRDefault="00DC147A" w:rsidP="00DC147A">
      <w:pPr>
        <w:spacing w:after="240" w:line="240" w:lineRule="auto"/>
        <w:ind w:firstLine="709"/>
        <w:jc w:val="center"/>
        <w:outlineLvl w:val="2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 xml:space="preserve">II. Порядок проведения оценки результатов проектов конкурсной комиссией и главой </w:t>
      </w:r>
      <w:r w:rsidR="00DE260F" w:rsidRPr="00DE260F">
        <w:rPr>
          <w:rFonts w:ascii="PT Astra Serif" w:eastAsia="Carlito" w:hAnsi="PT Astra Serif" w:cs="Times New Roman"/>
          <w:b/>
          <w:color w:val="000000" w:themeColor="text1"/>
          <w:sz w:val="26"/>
          <w:szCs w:val="26"/>
        </w:rPr>
        <w:t>Катав-Ивановского</w:t>
      </w:r>
      <w:r w:rsidRPr="00DE260F"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муниципального района</w:t>
      </w:r>
    </w:p>
    <w:p w:rsidR="00DC147A" w:rsidRDefault="00DC147A" w:rsidP="00DC147A">
      <w:pPr>
        <w:spacing w:before="220"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 11. Оценка результатов проекта конкурсной комиссией проводится на основе информации, собранной </w:t>
      </w:r>
      <w:r w:rsidR="000055A6" w:rsidRPr="000055A6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ЧОУ ДПО УЦ «Стимул»</w:t>
      </w:r>
      <w:r w:rsidRP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,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в том числе, но не ограничиваясь, содержащейся в отчетности и иных документах, представленных НКО, осуществившей данный проект, мониторинга сайта НКО, сторонних информационных ресурсов, на которых была размещена информация о реализации проекта, посещений отдельных мероприятий проекта, выездных проверок.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12. Оценка результатов проекта конкурсной комиссией проводится заочно в течение 10 календарных дней с даты получения информации, указанной в пункте 11 настоящего По</w:t>
      </w:r>
      <w:r w:rsid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рядка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13. Оценка результатов проектов конкурсной комиссией состоит из: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изучения результатов проекта каждым членом комиссии;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голосования за каждый проект и формирования общего вывода о результатах реализации каждого проекта каждым членом комиссии;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общего вывода </w:t>
      </w:r>
      <w:r w:rsid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конкурсной комиссии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об успешности реализации проекта и итогов голосования в виде протокола заседания комиссии в заочной форме.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14. Итоговый балл по проекту считается как среднее арифметическое из выставленных баллов по каждому показателю каждым членом комиссии: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10-9 - «проект реализован успешно», НКО добросовестно реализовала проект, не допустив отклонений от первоначального замысла, которые привели бы к снижению положительного социального эффекта от проекта; в ходе реализации проекта решена актуальная и социально значимая проблема, а результаты проекта оказались полезными для целей группы;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8-6 - «проект реализован удовлетворительно», НКО в целом реализовала проект, все результаты достигнуты, при этом к качеству проведения отдельных мероприятий имеются замечания;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lastRenderedPageBreak/>
        <w:t>5-3 - «проект реализован неудовлетворительно», НКО реализовала проект частично, не все результаты достигнуты, к реализации проекта имеются замечания;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2-0 - «проект не реализован», по итогам реализации НКО проекта не достигнуты запланированные результаты и к реализации проекта имеются существенные замечания.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15. При выставлении баллов конкурсная комиссия учитывает, уровень информационной открытости проекта, </w:t>
      </w:r>
      <w:proofErr w:type="spell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инновационность</w:t>
      </w:r>
      <w:proofErr w:type="spell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проекта, общественную значимость проекта, актуальность проблематики для целевой аудитории проекта, количество </w:t>
      </w:r>
      <w:proofErr w:type="spell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благополучателей</w:t>
      </w:r>
      <w:proofErr w:type="spell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проекта, показатели результативности проекта.</w:t>
      </w:r>
    </w:p>
    <w:p w:rsidR="00DC147A" w:rsidRDefault="00DC147A" w:rsidP="00DC147A">
      <w:pPr>
        <w:spacing w:after="0" w:line="240" w:lineRule="auto"/>
        <w:ind w:firstLine="709"/>
        <w:jc w:val="right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Таблица 1.</w:t>
      </w:r>
    </w:p>
    <w:tbl>
      <w:tblPr>
        <w:tblW w:w="9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2326"/>
        <w:gridCol w:w="2926"/>
        <w:gridCol w:w="1463"/>
        <w:gridCol w:w="2127"/>
      </w:tblGrid>
      <w:tr w:rsidR="00DC147A" w:rsidTr="00DC147A">
        <w:tc>
          <w:tcPr>
            <w:tcW w:w="518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126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</w:tr>
      <w:tr w:rsidR="00DC147A" w:rsidTr="00DC147A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№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Наименование показателя</w:t>
            </w:r>
          </w:p>
        </w:tc>
        <w:tc>
          <w:tcPr>
            <w:tcW w:w="65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ind w:firstLine="709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Рекомендации определения баллов</w:t>
            </w:r>
          </w:p>
        </w:tc>
      </w:tr>
      <w:tr w:rsidR="00DC147A" w:rsidTr="00DC147A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1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Уровень информационной открытости проекта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Pr="000055A6" w:rsidRDefault="00DC147A" w:rsidP="000055A6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Балл тем выше, чем больше мероприятия проекта освещались в средствах массовой информации и (или) в сети "Интернет" (в том числе, чем больше материалов, созданных в ходе осуществления проекта и представляющих общественный интерес, размещено в открытом доступе в сети "Интернет" с возможностью их свободного использования (если это не противоречит содержанию проекта) (далее - СМИ)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10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Мероприятия проекта освещены в 5 и более СМИ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65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6-9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Мероприятия проекта освещены в 4-3 СМИ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65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3-5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Мероприятия проекта освещены в 2 СМИ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65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0-2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Мероприятия проекта не освещены в  СМИ </w:t>
            </w:r>
          </w:p>
        </w:tc>
      </w:tr>
      <w:tr w:rsidR="00DC147A" w:rsidTr="00DC147A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2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proofErr w:type="spellStart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Инновационность</w:t>
            </w:r>
            <w:proofErr w:type="spellEnd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проекта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Балл тем выше, чем более инновационными являются мероприятия проекта (например, проект содержит новаторские, нестандартные решения (ноу-хау) и тем самым делает его реализацию проще; ранее проекты с предлагаемыми решениями не 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lastRenderedPageBreak/>
              <w:t>представлялись к рассмотрению)</w:t>
            </w:r>
          </w:p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lastRenderedPageBreak/>
              <w:t>9-10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Инновационных решений в проекте 2 и более, ранее проекты с предлагаемыми решениями не представлялись к рассмотрению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65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6-8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Инновационное решение в проекте 1, ранее проекты с предлагаемыми 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lastRenderedPageBreak/>
              <w:t>решениями не представлялись к рассмотрению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65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3-5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Инновационных решений в проекте 1, ранее проекты с предлагаемыми решениями представлялись к рассмотрению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65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0-2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Инновационных решений в проекте нет</w:t>
            </w:r>
          </w:p>
        </w:tc>
      </w:tr>
      <w:tr w:rsidR="00DC147A" w:rsidTr="00DC147A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3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Общественная значимость проекта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Учитывается общественная значимость и вклад проекта в социальное развитие </w:t>
            </w:r>
            <w:r w:rsidR="00DE260F" w:rsidRPr="00DE260F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</w:rPr>
              <w:t>Катав-Ивановского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муниципального района: балл тем выше, чем выше общественная значимость реализованных мероприятий проекта и выше вклад в социальное развитие </w:t>
            </w:r>
            <w:r w:rsidR="00DE260F" w:rsidRPr="00DE260F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</w:rPr>
              <w:t>Катав-Ивановского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муниципального района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9-10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Реализованный проект повлиял на повышение качества жизни населения </w:t>
            </w:r>
            <w:r w:rsidR="00DE260F" w:rsidRPr="00DE260F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</w:rPr>
              <w:t>Катав-Ивановского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муниципального района, мероприятия проекта имели высокую значимость, их реализация внесла существенный вклад в социальное развитие </w:t>
            </w:r>
            <w:r w:rsidR="00DE260F" w:rsidRPr="00DE260F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</w:rPr>
              <w:t>Катав-Ивановского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муниципального района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6-8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Реализованный проект подтвердил свою социальную значимости </w:t>
            </w:r>
            <w:r>
              <w:rPr>
                <w:rFonts w:ascii="PT Astra Serif" w:eastAsia="PT Astra Serif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для целевой аудитории, однако мероприятия проекта не имели высокой </w:t>
            </w:r>
            <w:r>
              <w:rPr>
                <w:rFonts w:ascii="PT Astra Serif" w:eastAsia="PT Astra Serif" w:hAnsi="PT Astra Serif" w:cs="Times New Roman"/>
                <w:color w:val="000000" w:themeColor="text1"/>
                <w:sz w:val="26"/>
                <w:szCs w:val="26"/>
                <w:highlight w:val="white"/>
              </w:rPr>
              <w:lastRenderedPageBreak/>
              <w:t xml:space="preserve">значимости для всего населения </w:t>
            </w:r>
            <w:r w:rsidR="00DE260F" w:rsidRPr="00DE260F">
              <w:rPr>
                <w:rFonts w:ascii="PT Astra Serif" w:eastAsia="PT Astra Serif" w:hAnsi="PT Astra Serif" w:cs="Times New Roman"/>
                <w:color w:val="000000" w:themeColor="text1"/>
                <w:sz w:val="26"/>
                <w:szCs w:val="26"/>
              </w:rPr>
              <w:t xml:space="preserve">Катав-Ивановского </w:t>
            </w:r>
            <w:r>
              <w:rPr>
                <w:rFonts w:ascii="PT Astra Serif" w:eastAsia="PT Astra Serif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муниципального района, 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имеется частичное (несущественное) расхождение между описанием вклада проекта в социальное развитие </w:t>
            </w:r>
            <w:r w:rsidR="00DE260F" w:rsidRPr="00DE260F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</w:rPr>
              <w:t xml:space="preserve">Катав-Ивановского 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муниципального района и его реализацией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3-5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Реализованный проект слабо повлиял на повышение качества жизни </w:t>
            </w:r>
            <w:r>
              <w:rPr>
                <w:rFonts w:ascii="PT Astra Serif" w:eastAsia="PT Astra Serif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целевой аудитории,  мероприятия проекта не имели значимости для всего 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населения </w:t>
            </w:r>
            <w:r w:rsidR="00DE260F" w:rsidRPr="00DE260F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</w:rPr>
              <w:t xml:space="preserve">Катав-Ивановского 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муниципального района, мероприятия проекта имели низкую общественную значимость, имеются другие замечания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0-2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Реализованный проект не повлиял на повышение качества жизни </w:t>
            </w:r>
            <w:r>
              <w:rPr>
                <w:rFonts w:ascii="PT Astra Serif" w:eastAsia="PT Astra Serif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целевой аудитории,  </w:t>
            </w:r>
            <w:r>
              <w:rPr>
                <w:rFonts w:ascii="PT Astra Serif" w:eastAsia="PT Astra Serif" w:hAnsi="PT Astra Serif" w:cs="Times New Roman"/>
                <w:color w:val="000000" w:themeColor="text1"/>
                <w:sz w:val="26"/>
                <w:szCs w:val="26"/>
                <w:highlight w:val="white"/>
              </w:rPr>
              <w:lastRenderedPageBreak/>
              <w:t xml:space="preserve">мероприятия проекта не имели значимости для всего 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населения </w:t>
            </w:r>
            <w:r w:rsidR="00DE260F" w:rsidRPr="00DE260F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</w:rPr>
              <w:t xml:space="preserve">Катав-Ивановского 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муниципального района, мероприятия проекта не имели общественную значимость, имеются другие замечания</w:t>
            </w:r>
          </w:p>
        </w:tc>
      </w:tr>
      <w:tr w:rsidR="00DC147A" w:rsidTr="00DC147A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lastRenderedPageBreak/>
              <w:t>4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Актуальность проблематики для целевой аудитории проекта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Учитывается актуальность проблематики для целевой аудитории проекта: балл тем выше, чем больше имеется подтверждений актуальности проблемы представителями целевой аудитории и чем больше решено в ходе реализации проекта значимых проблем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9-10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Актуальность проблематики для целевой аудитории проекта полностью доказана: имеется подтверждение актуальности проблемы представителями целевой аудитории, потенциальными </w:t>
            </w:r>
            <w:proofErr w:type="spellStart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благополучателями</w:t>
            </w:r>
            <w:proofErr w:type="spellEnd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, партнерами, реализованный проект был направлен в полной мере на решение именно тех проблем, которые обозначены как значимые, мероприятия проекта полностью соответствовали 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lastRenderedPageBreak/>
              <w:t>направлениям проекта.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6-8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Актуальность проблематики для целевой аудитории проекта доказана, но имеются замечания: проблемы, на решение которых направлен проект, относятся к разряду актуальных, но авторы изначально преувеличили их значимость для выбранной аудитории, имеются другие замечания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3-5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Актуальность проблематики для целевой аудитории проекта доказана неубедительно: проблема не имеет острой значимости для целевой аудитории и (или) территории реализации проекта, имеются другие замечания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0-2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Актуальность проблематики для целевой аудитории </w:t>
            </w: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lastRenderedPageBreak/>
              <w:t>проекта не доказана, результаты проекта не  востребованы целевой аудиторией, большая часть мероприятий проекта не связана с выбранным направлением социально значимого проекта, имеются другие замечания</w:t>
            </w:r>
          </w:p>
        </w:tc>
      </w:tr>
      <w:tr w:rsidR="00DC147A" w:rsidTr="00DC147A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lastRenderedPageBreak/>
              <w:t>5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Количество </w:t>
            </w:r>
            <w:proofErr w:type="spellStart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благополучателей</w:t>
            </w:r>
            <w:proofErr w:type="spellEnd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проекта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Балл тем выше, чем больше </w:t>
            </w:r>
            <w:proofErr w:type="spellStart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благополучателей</w:t>
            </w:r>
            <w:proofErr w:type="spellEnd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реализовано НКО в ходе реализации проекта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10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Количество </w:t>
            </w:r>
            <w:proofErr w:type="spellStart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благополучателей</w:t>
            </w:r>
            <w:proofErr w:type="spellEnd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проекта выше запланированного по проекту человек на 20-100%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8-9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Количество </w:t>
            </w:r>
            <w:proofErr w:type="spellStart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благополучателей</w:t>
            </w:r>
            <w:proofErr w:type="spellEnd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проекта соответствует количеству запланированных человек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3-7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Количество </w:t>
            </w:r>
            <w:proofErr w:type="spellStart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благополучателей</w:t>
            </w:r>
            <w:proofErr w:type="spellEnd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проекта ниже количества запланированных человек на 10%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0-2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Количество </w:t>
            </w:r>
            <w:proofErr w:type="spellStart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благополучателей</w:t>
            </w:r>
            <w:proofErr w:type="spellEnd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 проекта ниже количества запланированных человек на 20% и более</w:t>
            </w:r>
          </w:p>
        </w:tc>
      </w:tr>
      <w:tr w:rsidR="00DC147A" w:rsidTr="003F1FB7">
        <w:trPr>
          <w:trHeight w:val="1143"/>
        </w:trPr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lastRenderedPageBreak/>
              <w:t>6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Отсутствие возврата субсидий в бюджет Ашинского муниципального района</w:t>
            </w:r>
          </w:p>
        </w:tc>
        <w:tc>
          <w:tcPr>
            <w:tcW w:w="29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 w:rsidP="003F1FB7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Балл тем выше, чем меньший процент от предоставленной субсидии возвращен в бюджет </w:t>
            </w:r>
            <w:r w:rsidR="003F1FB7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</w:rPr>
              <w:t>ЧОУ ДПО УЦ «Стимул»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10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B35CAF" w:rsidP="00B35CAF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Возврат субсидии </w:t>
            </w:r>
            <w:r w:rsidR="00DC147A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не произведен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7-9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3F1FB7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П</w:t>
            </w:r>
            <w:r w:rsidR="00DC147A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роизведен возврат субсидии от 1% до 29%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3-6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3F1FB7" w:rsidP="003F1FB7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П</w:t>
            </w:r>
            <w:r w:rsidR="00DC147A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роизведен возврат субсидии от 30% до 69%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0-2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3F1FB7" w:rsidP="003F1FB7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П</w:t>
            </w:r>
            <w:r w:rsidR="00DC147A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роизведен возврат субсидии от 70% до 100%</w:t>
            </w:r>
          </w:p>
        </w:tc>
      </w:tr>
      <w:tr w:rsidR="00DC147A" w:rsidTr="00DC147A"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7</w:t>
            </w:r>
          </w:p>
        </w:tc>
        <w:tc>
          <w:tcPr>
            <w:tcW w:w="232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Показатели результативности проекта</w:t>
            </w:r>
          </w:p>
        </w:tc>
        <w:tc>
          <w:tcPr>
            <w:tcW w:w="29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Определяется в процентном соотношении от достижения показателей результативности</w:t>
            </w:r>
          </w:p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в соответствии с соглашением, предусмотренных описанием проекта: процент (балл) тем</w:t>
            </w:r>
          </w:p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выше, чем выше достижения результатов предоставлении субсидии. Считается в</w:t>
            </w:r>
          </w:p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пропорции, где за 100% берутся показатели результативности в соответствии с заключенным соглашением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9-10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Достигнуто 100% - 90% показателей результативности в соответствии с соглашением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65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6-8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Достигнуто 80% - 89% показателей результативности в соответствии с соглашением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65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3-5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Достигнуто от 50% до 79% показателей результативности в соответствии с соглашением</w:t>
            </w:r>
          </w:p>
        </w:tc>
      </w:tr>
      <w:tr w:rsidR="00DC147A" w:rsidTr="00DC147A">
        <w:tc>
          <w:tcPr>
            <w:tcW w:w="5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32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65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jc w:val="center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0-2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bookmarkStart w:id="0" w:name="_Hlk214969735"/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Достигнуто от 0% до 49% показателей результативности в соответствии с соглашением</w:t>
            </w:r>
            <w:bookmarkEnd w:id="0"/>
          </w:p>
        </w:tc>
      </w:tr>
    </w:tbl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 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16. Результаты оценки проектов конкурсной комиссией оформляются протоколом заочного заседания комиссии.</w:t>
      </w:r>
      <w:r>
        <w:rPr>
          <w:rFonts w:ascii="PT Astra Serif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Протокол и все результаты оценки проектов конкурсной комиссией направляются в </w:t>
      </w:r>
      <w:r w:rsidR="000055A6" w:rsidRPr="000055A6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ЧОУ ДПО УЦ «Стимул»</w:t>
      </w:r>
      <w:r w:rsidRP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,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далее подведение итогов оценки результатов проектов осуществляется </w:t>
      </w:r>
      <w:r w:rsidR="000055A6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ЧОУ ДПО УЦ «Стимул»,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принимавшим и рассматривающим заявки, поданные на участие в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lastRenderedPageBreak/>
        <w:t>конкурсе получателей субсидии на предоставление грантов в форме субсидий некоммерческим не</w:t>
      </w:r>
      <w:r w:rsidR="003F1FB7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правительственным организациям,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осуществляющим деятельность </w:t>
      </w:r>
      <w:proofErr w:type="gram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в </w:t>
      </w:r>
      <w:r w:rsid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Катав</w:t>
      </w:r>
      <w:proofErr w:type="gramEnd"/>
      <w:r w:rsid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 xml:space="preserve">-Ивановском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муниципальном районе, на развитие гражданского общества.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18. Вывод главы </w:t>
      </w:r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Катав-Ивановского</w:t>
      </w:r>
      <w:r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муниципального района об успешности реализации каждого проекта оформляется главой в соответствии с приложением к данному распоряжению и передается в </w:t>
      </w:r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ЧОУ ДПО УЦ «Стимул»</w:t>
      </w:r>
      <w:r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 w:cs="Times New Roman"/>
          <w:color w:val="000000"/>
          <w:sz w:val="26"/>
          <w:szCs w:val="26"/>
          <w:highlight w:val="white"/>
        </w:rPr>
      </w:pPr>
    </w:p>
    <w:p w:rsidR="00DC147A" w:rsidRDefault="00DC147A" w:rsidP="00DC147A">
      <w:pPr>
        <w:spacing w:after="240" w:line="240" w:lineRule="auto"/>
        <w:ind w:firstLine="709"/>
        <w:jc w:val="center"/>
        <w:outlineLvl w:val="2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 xml:space="preserve">III. Порядок проведения оценки результатов проектов в социальных сетях </w:t>
      </w:r>
      <w:r w:rsidR="00DE260F" w:rsidRPr="00DE260F">
        <w:rPr>
          <w:rFonts w:ascii="PT Astra Serif" w:eastAsia="Carlito" w:hAnsi="PT Astra Serif" w:cs="Times New Roman"/>
          <w:b/>
          <w:color w:val="000000" w:themeColor="text1"/>
          <w:sz w:val="26"/>
          <w:szCs w:val="26"/>
        </w:rPr>
        <w:t xml:space="preserve">Катав-Ивановского </w:t>
      </w:r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муниципального района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21. Оценка результатов проектов в социальных сетях проводится путем онлайн-голосования </w:t>
      </w:r>
      <w:bookmarkStart w:id="1" w:name="_Hlk214971797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в официальной группе администрации </w:t>
      </w:r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Катав-</w:t>
      </w:r>
      <w:proofErr w:type="gramStart"/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 xml:space="preserve">Ивановского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муниципального</w:t>
      </w:r>
      <w:proofErr w:type="gram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района (</w:t>
      </w:r>
      <w:r w:rsidRPr="003F1FB7"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https://vk.com/74admamr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). </w:t>
      </w:r>
      <w:bookmarkEnd w:id="1"/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22. Для оценки результатов проекта в качестве голосующих выступают любые физические лица и организации, участвующие в проекте либо изучившие размещенные в официальной группе администрации </w:t>
      </w:r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Катав-Ивановского</w:t>
      </w:r>
      <w:r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муниципального района (</w:t>
      </w:r>
      <w:r w:rsidRPr="003F1FB7"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https://vk.com/74admamr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) проекты и изъявившие намерение проголосовать (далее - голосующие).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23. Голосующие в ходе голосования отдают любому количеству проектов один из вариантов своего голоса путем нажатия на соответствующую иконку на сайте: "неудовлетворительно", "удовлетворительно" или "успешно":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"успешно" - НКО добросовестно реализовала проект, не допустив отклонений от первоначального замысла, которые привели бы к снижению положительного социального эффекта от проекта; в ходе реализации проекта решена актуальная и социально значимая проблема, а результаты проекта оказались полезными для целей группы;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"удовлетворительно" - НКО в целом реализовала проект, значительная часть результатов достигнута, при этом к качеству проведения отдельных мероприятий имеются замечания;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"неудовлетворительно" - по итогам реализации НКО проекта не достигнуты запланированные результаты и к реализации проекта имеются существенные замечания.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24. При голосовании также учитывается уровень информационной открытости проекта, масштабируемость и (или) </w:t>
      </w:r>
      <w:proofErr w:type="spell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тиражируемость</w:t>
      </w:r>
      <w:proofErr w:type="spell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проекта, количество </w:t>
      </w:r>
      <w:proofErr w:type="spell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благополучателей</w:t>
      </w:r>
      <w:proofErr w:type="spell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проекта, уровень достижения целевых показателей и результатов проекта, </w:t>
      </w:r>
      <w:proofErr w:type="spell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инновационность</w:t>
      </w:r>
      <w:proofErr w:type="spell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проекта.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25. За один проект можно проголосовать один раз.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26. Оценка результатов проектов в </w:t>
      </w:r>
      <w:proofErr w:type="spell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соцсетях</w:t>
      </w:r>
      <w:proofErr w:type="spell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проводится в течение 10 календарных дней с даты начала оценки результатов проектов</w:t>
      </w:r>
      <w:r>
        <w:rPr>
          <w:rFonts w:ascii="PT Astra Serif" w:eastAsia="Arial" w:hAnsi="PT Astra Serif" w:cs="Times New Roman"/>
          <w:color w:val="000000" w:themeColor="text1"/>
          <w:sz w:val="26"/>
          <w:szCs w:val="26"/>
          <w:highlight w:val="white"/>
        </w:rPr>
        <w:t>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 w:cs="Times New Roman"/>
          <w:color w:val="000000"/>
          <w:sz w:val="26"/>
          <w:szCs w:val="26"/>
          <w:highlight w:val="white"/>
        </w:rPr>
      </w:pPr>
    </w:p>
    <w:p w:rsidR="00DC147A" w:rsidRDefault="00DC147A" w:rsidP="00DC147A">
      <w:pPr>
        <w:spacing w:after="240" w:line="240" w:lineRule="auto"/>
        <w:ind w:firstLine="709"/>
        <w:jc w:val="center"/>
        <w:outlineLvl w:val="2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b/>
          <w:color w:val="000000" w:themeColor="text1"/>
          <w:sz w:val="26"/>
          <w:szCs w:val="26"/>
          <w:highlight w:val="white"/>
        </w:rPr>
        <w:t>IV. Подведение итогов оценки результатов проектов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27. Подведение итогов оценки результатов проектов осуществляется </w:t>
      </w:r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ЧОУ ДПО УЦ «</w:t>
      </w:r>
      <w:proofErr w:type="gramStart"/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 xml:space="preserve">Стимул»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в</w:t>
      </w:r>
      <w:proofErr w:type="gram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течение 10 рабочих дней после поступления выводов главы </w:t>
      </w:r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Катав-Ивановского</w:t>
      </w:r>
      <w:r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муниципального района об успешности реализации каждого проекта, протокола заседания конкурсной комиссии и оценки результатов проектов в социальных сетях (окончания голосования в социальных сетях).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lastRenderedPageBreak/>
        <w:t xml:space="preserve">28. Для подведения итогов оценки результатов проектов </w:t>
      </w:r>
      <w:r w:rsidR="00DE260F" w:rsidRPr="00DE260F">
        <w:rPr>
          <w:rFonts w:ascii="PT Astra Serif" w:eastAsia="PT Astra Serif" w:hAnsi="PT Astra Serif" w:cs="Times New Roman"/>
          <w:color w:val="000000" w:themeColor="text1"/>
          <w:sz w:val="26"/>
          <w:szCs w:val="26"/>
        </w:rPr>
        <w:t>ЧОУ ДПО УЦ «</w:t>
      </w:r>
      <w:proofErr w:type="gramStart"/>
      <w:r w:rsidR="00DE260F" w:rsidRPr="00DE260F">
        <w:rPr>
          <w:rFonts w:ascii="PT Astra Serif" w:eastAsia="PT Astra Serif" w:hAnsi="PT Astra Serif" w:cs="Times New Roman"/>
          <w:color w:val="000000" w:themeColor="text1"/>
          <w:sz w:val="26"/>
          <w:szCs w:val="26"/>
        </w:rPr>
        <w:t xml:space="preserve">Стимул» </w:t>
      </w: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 xml:space="preserve"> подсчитывает</w:t>
      </w:r>
      <w:proofErr w:type="gramEnd"/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 xml:space="preserve"> итоговую оценку по каждому проекту.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>29. Итоговая оценка (</w:t>
      </w:r>
      <w:r>
        <w:rPr>
          <w:rFonts w:ascii="PT Astra Serif" w:hAnsi="PT Astra Serif"/>
          <w:noProof/>
          <w:lang w:eastAsia="ru-RU"/>
        </w:rPr>
        <w:drawing>
          <wp:inline distT="0" distB="0" distL="0" distR="0">
            <wp:extent cx="381000" cy="228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>) рассчитывается по формуле:</w:t>
      </w:r>
    </w:p>
    <w:p w:rsidR="00DC147A" w:rsidRDefault="00DC147A" w:rsidP="00DC147A">
      <w:pPr>
        <w:spacing w:after="0" w:line="240" w:lineRule="auto"/>
        <w:jc w:val="both"/>
        <w:rPr>
          <w:rFonts w:ascii="PT Astra Serif" w:hAnsi="PT Astra Serif"/>
        </w:rPr>
      </w:pPr>
      <w:r>
        <w:rPr>
          <w:rFonts w:ascii="PT Astra Serif" w:hAnsi="PT Astra Serif"/>
          <w:noProof/>
          <w:lang w:eastAsia="ru-RU"/>
        </w:rPr>
        <w:drawing>
          <wp:inline distT="0" distB="0" distL="0" distR="0">
            <wp:extent cx="1866900" cy="228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>,</w:t>
      </w:r>
    </w:p>
    <w:p w:rsidR="00DC147A" w:rsidRDefault="00DC147A" w:rsidP="00DC147A">
      <w:pPr>
        <w:spacing w:after="0" w:line="240" w:lineRule="auto"/>
        <w:jc w:val="both"/>
        <w:rPr>
          <w:rFonts w:ascii="PT Astra Serif" w:hAnsi="PT Astra Serif"/>
        </w:rPr>
      </w:pP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>где:</w:t>
      </w:r>
    </w:p>
    <w:p w:rsidR="00DC147A" w:rsidRDefault="00DC147A" w:rsidP="00DC147A">
      <w:pPr>
        <w:spacing w:after="0" w:line="240" w:lineRule="auto"/>
        <w:ind w:firstLine="480"/>
        <w:jc w:val="both"/>
        <w:rPr>
          <w:rFonts w:ascii="PT Astra Serif" w:hAnsi="PT Astra Serif"/>
        </w:rPr>
      </w:pP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>Ц - количество баллов конкурсной комиссии, полученных по итогам голосования;</w:t>
      </w:r>
    </w:p>
    <w:p w:rsidR="00DC147A" w:rsidRDefault="00DC147A" w:rsidP="00DC147A">
      <w:pPr>
        <w:spacing w:after="0" w:line="240" w:lineRule="auto"/>
        <w:ind w:firstLine="480"/>
        <w:jc w:val="both"/>
        <w:rPr>
          <w:rFonts w:ascii="PT Astra Serif" w:hAnsi="PT Astra Serif"/>
        </w:rPr>
      </w:pP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>З - количество баллов, набранное по итогам оценки результатов проектов на сайте, и рассчитывается по формуле:</w:t>
      </w:r>
    </w:p>
    <w:p w:rsidR="00DC147A" w:rsidRDefault="00DC147A" w:rsidP="00DC147A">
      <w:pPr>
        <w:spacing w:after="0" w:line="240" w:lineRule="auto"/>
        <w:jc w:val="both"/>
        <w:rPr>
          <w:rFonts w:ascii="PT Astra Serif" w:hAnsi="PT Astra Serif"/>
        </w:rPr>
      </w:pPr>
      <w:r>
        <w:rPr>
          <w:rFonts w:ascii="PT Astra Serif" w:hAnsi="PT Astra Serif"/>
          <w:noProof/>
          <w:lang w:eastAsia="ru-RU"/>
        </w:rPr>
        <w:drawing>
          <wp:inline distT="0" distB="0" distL="0" distR="0">
            <wp:extent cx="2324100" cy="24130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>,</w:t>
      </w:r>
    </w:p>
    <w:p w:rsidR="00DC147A" w:rsidRDefault="00DC147A" w:rsidP="00DC147A">
      <w:pPr>
        <w:spacing w:after="0" w:line="240" w:lineRule="auto"/>
        <w:ind w:firstLine="480"/>
        <w:jc w:val="both"/>
        <w:rPr>
          <w:rFonts w:ascii="PT Astra Serif" w:hAnsi="PT Astra Serif"/>
        </w:rPr>
      </w:pP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>где:</w:t>
      </w:r>
    </w:p>
    <w:p w:rsidR="00DC147A" w:rsidRDefault="00DC147A" w:rsidP="00DC147A">
      <w:pPr>
        <w:spacing w:after="0" w:line="240" w:lineRule="auto"/>
        <w:ind w:firstLine="480"/>
        <w:jc w:val="both"/>
        <w:rPr>
          <w:rFonts w:ascii="PT Astra Serif" w:hAnsi="PT Astra Serif"/>
        </w:rPr>
      </w:pPr>
      <w:r>
        <w:rPr>
          <w:rFonts w:ascii="PT Astra Serif" w:hAnsi="PT Astra Serif"/>
          <w:noProof/>
          <w:lang w:eastAsia="ru-RU"/>
        </w:rPr>
        <w:drawing>
          <wp:inline distT="0" distB="0" distL="0" distR="0">
            <wp:extent cx="304800" cy="2349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> - количество голосов "успешно", набранное по итогам оценки результатов проектов на сайте;</w:t>
      </w:r>
    </w:p>
    <w:p w:rsidR="00DC147A" w:rsidRDefault="00DC147A" w:rsidP="00DC147A">
      <w:pPr>
        <w:spacing w:after="0" w:line="240" w:lineRule="auto"/>
        <w:ind w:firstLine="480"/>
        <w:jc w:val="both"/>
        <w:rPr>
          <w:rFonts w:ascii="PT Astra Serif" w:hAnsi="PT Astra Serif"/>
        </w:rPr>
      </w:pPr>
      <w:r>
        <w:rPr>
          <w:rFonts w:ascii="PT Astra Serif" w:hAnsi="PT Astra Serif"/>
          <w:noProof/>
          <w:lang w:eastAsia="ru-RU"/>
        </w:rPr>
        <w:drawing>
          <wp:inline distT="0" distB="0" distL="0" distR="0">
            <wp:extent cx="254000" cy="2413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> - количество голосов "удовлетворительно", набранное по итогам оценки результатов проектов на сайте;</w:t>
      </w:r>
    </w:p>
    <w:p w:rsidR="00DC147A" w:rsidRDefault="00DC147A" w:rsidP="00DC147A">
      <w:pPr>
        <w:spacing w:after="0" w:line="240" w:lineRule="auto"/>
        <w:ind w:firstLine="480"/>
        <w:jc w:val="both"/>
        <w:rPr>
          <w:rFonts w:ascii="PT Astra Serif" w:hAnsi="PT Astra Serif"/>
        </w:rPr>
      </w:pPr>
      <w:r>
        <w:rPr>
          <w:rFonts w:ascii="PT Astra Serif" w:hAnsi="PT Astra Serif"/>
          <w:noProof/>
          <w:lang w:eastAsia="ru-RU"/>
        </w:rPr>
        <w:drawing>
          <wp:inline distT="0" distB="0" distL="0" distR="0">
            <wp:extent cx="349250" cy="2413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 xml:space="preserve"> - </w:t>
      </w:r>
      <w:proofErr w:type="gramStart"/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>количество  голосов</w:t>
      </w:r>
      <w:proofErr w:type="gramEnd"/>
      <w:r>
        <w:rPr>
          <w:rFonts w:ascii="PT Astra Serif" w:eastAsia="PT Astra Serif" w:hAnsi="PT Astra Serif" w:cs="Times New Roman"/>
          <w:color w:val="000000" w:themeColor="text1"/>
          <w:sz w:val="26"/>
          <w:szCs w:val="26"/>
          <w:highlight w:val="white"/>
        </w:rPr>
        <w:t xml:space="preserve"> "неудовлетворительно", набранное по итогам оценки результатов проектов на сайте.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30. </w:t>
      </w:r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 xml:space="preserve">ЧОУ ДПО УЦ «Стимул»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формирует выводы и результаты оценки итогов реализации проектов, которые оформляются в виде таблицы, в которой указываются по каждому проекту: наименование НКО; название и краткое описание проекта; итоговый балл конкурсной комиссии с выводом об успешности реализации проекта и ссылкой на реквизиты протокола заседания комиссии; количество голосов, набранное при голосовании в социальных сетях с указанием ссылки голосования; вывод главы </w:t>
      </w:r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 xml:space="preserve">Катав-Ивановского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муниципального района об успешности реализации проекта с указанием даты заполнения формы; итоговая оценка результатов проекта. Табличные данные подписываются курирующим заместителем главы </w:t>
      </w:r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Катав-Ивановского</w:t>
      </w:r>
      <w:r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муниципального района и утверждаются главой </w:t>
      </w:r>
      <w:r w:rsidR="00DE260F"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Катав-Ивановского</w:t>
      </w:r>
      <w:r w:rsidRPr="00DE260F"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муниципального района. Таблица размещается на сайте района и районных </w:t>
      </w:r>
      <w:proofErr w:type="spellStart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соцсетях</w:t>
      </w:r>
      <w:proofErr w:type="spellEnd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 xml:space="preserve"> и СМИ.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31</w:t>
      </w:r>
      <w:bookmarkStart w:id="2" w:name="_Hlk214970227"/>
      <w:r>
        <w:rPr>
          <w:rFonts w:ascii="PT Astra Serif" w:eastAsia="Carlito" w:hAnsi="PT Astra Serif" w:cs="Times New Roman"/>
          <w:color w:val="000000" w:themeColor="text1"/>
          <w:sz w:val="26"/>
          <w:szCs w:val="26"/>
          <w:highlight w:val="white"/>
        </w:rPr>
        <w:t>. Итоговые результаты оценки направляются в Фонд в сроки, указанные в Положении при заполнении отчета об итогах оказания поддержки некоммерческим неправительственным организациям.</w:t>
      </w:r>
      <w:bookmarkEnd w:id="2"/>
    </w:p>
    <w:p w:rsidR="00DC147A" w:rsidRDefault="00DC147A" w:rsidP="00DC147A">
      <w:pPr>
        <w:suppressAutoHyphens w:val="0"/>
        <w:spacing w:after="0" w:line="240" w:lineRule="auto"/>
        <w:rPr>
          <w:rFonts w:ascii="PT Astra Serif" w:eastAsia="Carlito" w:hAnsi="PT Astra Serif" w:cs="Times New Roman"/>
          <w:color w:val="000000"/>
          <w:sz w:val="26"/>
          <w:szCs w:val="26"/>
        </w:rPr>
        <w:sectPr w:rsidR="00DC147A">
          <w:pgSz w:w="11906" w:h="16838"/>
          <w:pgMar w:top="1134" w:right="850" w:bottom="1134" w:left="1559" w:header="0" w:footer="0" w:gutter="0"/>
          <w:cols w:space="720"/>
          <w:formProt w:val="0"/>
        </w:sectPr>
      </w:pPr>
    </w:p>
    <w:p w:rsidR="00DC147A" w:rsidRDefault="00DC147A" w:rsidP="00DC147A">
      <w:pPr>
        <w:spacing w:after="240" w:line="240" w:lineRule="auto"/>
        <w:ind w:firstLine="709"/>
        <w:jc w:val="right"/>
        <w:outlineLvl w:val="2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6"/>
          <w:szCs w:val="26"/>
        </w:rPr>
        <w:lastRenderedPageBreak/>
        <w:t>Приложение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</w:rPr>
        <w:br/>
        <w:t>к Положению о порядке оценки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</w:rPr>
        <w:br/>
        <w:t>результатов проектов победителей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</w:rPr>
        <w:br/>
        <w:t>конкурсного отбора на предоставление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</w:rPr>
        <w:br/>
        <w:t>грантов в форме субсидий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</w:rPr>
        <w:br/>
        <w:t>некоммерческим неправительственным</w:t>
      </w:r>
      <w:r>
        <w:rPr>
          <w:rFonts w:ascii="PT Astra Serif" w:eastAsia="Carlito" w:hAnsi="PT Astra Serif" w:cs="Times New Roman"/>
          <w:color w:val="000000" w:themeColor="text1"/>
          <w:sz w:val="26"/>
          <w:szCs w:val="26"/>
        </w:rPr>
        <w:br/>
        <w:t xml:space="preserve">организациям на </w:t>
      </w:r>
      <w:r w:rsidR="003F1FB7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развитие гражданского</w:t>
      </w:r>
      <w:r w:rsidR="003F1FB7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br/>
        <w:t>общества</w:t>
      </w:r>
    </w:p>
    <w:p w:rsidR="00DC147A" w:rsidRDefault="003F1FB7" w:rsidP="003F1FB7">
      <w:pPr>
        <w:spacing w:after="0" w:line="240" w:lineRule="auto"/>
        <w:ind w:firstLine="709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/>
          <w:sz w:val="26"/>
          <w:szCs w:val="26"/>
        </w:rPr>
        <w:t xml:space="preserve">                               </w:t>
      </w:r>
      <w:r w:rsidR="00DC147A">
        <w:rPr>
          <w:rFonts w:ascii="PT Astra Serif" w:eastAsia="Carlito" w:hAnsi="PT Astra Serif" w:cs="Times New Roman"/>
          <w:color w:val="000000" w:themeColor="text1"/>
          <w:sz w:val="26"/>
          <w:szCs w:val="26"/>
        </w:rPr>
        <w:t>ФОРМА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/>
          <w:sz w:val="26"/>
          <w:szCs w:val="26"/>
        </w:rPr>
      </w:pPr>
    </w:p>
    <w:tbl>
      <w:tblPr>
        <w:tblW w:w="9500" w:type="dxa"/>
        <w:tblInd w:w="-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2"/>
        <w:gridCol w:w="982"/>
        <w:gridCol w:w="141"/>
        <w:gridCol w:w="143"/>
        <w:gridCol w:w="186"/>
        <w:gridCol w:w="796"/>
        <w:gridCol w:w="1017"/>
        <w:gridCol w:w="420"/>
        <w:gridCol w:w="273"/>
        <w:gridCol w:w="283"/>
        <w:gridCol w:w="1134"/>
        <w:gridCol w:w="57"/>
        <w:gridCol w:w="2715"/>
        <w:gridCol w:w="351"/>
      </w:tblGrid>
      <w:tr w:rsidR="00DC147A" w:rsidTr="00DC147A">
        <w:tc>
          <w:tcPr>
            <w:tcW w:w="1002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</w:rPr>
            </w:pPr>
          </w:p>
        </w:tc>
        <w:tc>
          <w:tcPr>
            <w:tcW w:w="1123" w:type="dxa"/>
            <w:gridSpan w:val="2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</w:rPr>
            </w:pPr>
          </w:p>
        </w:tc>
        <w:tc>
          <w:tcPr>
            <w:tcW w:w="329" w:type="dxa"/>
            <w:gridSpan w:val="2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</w:rPr>
            </w:pPr>
          </w:p>
        </w:tc>
        <w:tc>
          <w:tcPr>
            <w:tcW w:w="796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</w:rPr>
            </w:pPr>
          </w:p>
        </w:tc>
        <w:tc>
          <w:tcPr>
            <w:tcW w:w="1017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</w:rPr>
            </w:pPr>
          </w:p>
        </w:tc>
        <w:tc>
          <w:tcPr>
            <w:tcW w:w="420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</w:rPr>
            </w:pPr>
          </w:p>
        </w:tc>
        <w:tc>
          <w:tcPr>
            <w:tcW w:w="556" w:type="dxa"/>
            <w:gridSpan w:val="2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</w:rPr>
            </w:pPr>
          </w:p>
        </w:tc>
        <w:tc>
          <w:tcPr>
            <w:tcW w:w="1130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</w:rPr>
            </w:pPr>
          </w:p>
        </w:tc>
        <w:tc>
          <w:tcPr>
            <w:tcW w:w="57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</w:rPr>
            </w:pPr>
          </w:p>
        </w:tc>
        <w:tc>
          <w:tcPr>
            <w:tcW w:w="2715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</w:rPr>
            </w:pPr>
          </w:p>
        </w:tc>
        <w:tc>
          <w:tcPr>
            <w:tcW w:w="351" w:type="dxa"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</w:rPr>
            </w:pPr>
          </w:p>
        </w:tc>
      </w:tr>
      <w:tr w:rsidR="00DC147A" w:rsidTr="00DC147A">
        <w:tc>
          <w:tcPr>
            <w:tcW w:w="198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97BE0">
            <w:pPr>
              <w:spacing w:after="0" w:line="240" w:lineRule="auto"/>
              <w:ind w:firstLine="709"/>
              <w:jc w:val="both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Я, Г</w:t>
            </w:r>
            <w:r w:rsidR="00DC147A"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лава</w:t>
            </w:r>
          </w:p>
        </w:tc>
        <w:tc>
          <w:tcPr>
            <w:tcW w:w="4393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E260F" w:rsidP="00D97BE0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 w:rsidRPr="00DE260F">
              <w:rPr>
                <w:rFonts w:ascii="PT Astra Serif" w:eastAsia="Carlito" w:hAnsi="PT Astra Serif" w:cs="Times New Roman"/>
                <w:i/>
                <w:color w:val="000000" w:themeColor="text1"/>
                <w:sz w:val="26"/>
                <w:szCs w:val="26"/>
              </w:rPr>
              <w:t>Катав-Ивановского</w:t>
            </w:r>
            <w:r w:rsidR="00D97BE0">
              <w:rPr>
                <w:rFonts w:ascii="PT Astra Serif" w:eastAsia="Carlito" w:hAnsi="PT Astra Serif" w:cs="Times New Roman"/>
                <w:i/>
                <w:color w:val="000000" w:themeColor="text1"/>
                <w:sz w:val="26"/>
                <w:szCs w:val="26"/>
                <w:highlight w:val="white"/>
              </w:rPr>
              <w:t xml:space="preserve"> муниципального округа </w:t>
            </w:r>
            <w:r w:rsidR="00DC147A">
              <w:rPr>
                <w:rFonts w:ascii="PT Astra Serif" w:eastAsia="Carlito" w:hAnsi="PT Astra Serif" w:cs="Times New Roman"/>
                <w:i/>
                <w:color w:val="000000" w:themeColor="text1"/>
                <w:sz w:val="26"/>
                <w:szCs w:val="26"/>
                <w:highlight w:val="white"/>
              </w:rPr>
              <w:t xml:space="preserve">, </w:t>
            </w:r>
          </w:p>
        </w:tc>
        <w:tc>
          <w:tcPr>
            <w:tcW w:w="311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</w:tr>
      <w:tr w:rsidR="00DC147A" w:rsidTr="00DC147A">
        <w:tc>
          <w:tcPr>
            <w:tcW w:w="198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4393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</w:p>
        </w:tc>
        <w:tc>
          <w:tcPr>
            <w:tcW w:w="311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</w:tr>
      <w:tr w:rsidR="00DC147A" w:rsidTr="00DC147A">
        <w:tc>
          <w:tcPr>
            <w:tcW w:w="198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4393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i/>
                <w:color w:val="000000" w:themeColor="text1"/>
                <w:szCs w:val="26"/>
                <w:highlight w:val="white"/>
              </w:rPr>
              <w:t>Ф.И.О.,</w:t>
            </w:r>
          </w:p>
        </w:tc>
        <w:tc>
          <w:tcPr>
            <w:tcW w:w="311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</w:tr>
      <w:tr w:rsidR="00DC147A" w:rsidTr="00DC147A">
        <w:tc>
          <w:tcPr>
            <w:tcW w:w="4960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C147A">
            <w:pPr>
              <w:spacing w:after="0" w:line="240" w:lineRule="auto"/>
              <w:jc w:val="both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осуществил оценку результатов проекта</w:t>
            </w:r>
          </w:p>
        </w:tc>
        <w:tc>
          <w:tcPr>
            <w:tcW w:w="4185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</w:p>
        </w:tc>
        <w:tc>
          <w:tcPr>
            <w:tcW w:w="351" w:type="dxa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</w:tr>
      <w:tr w:rsidR="00DC147A" w:rsidTr="00DC147A">
        <w:trPr>
          <w:trHeight w:val="299"/>
        </w:trPr>
        <w:tc>
          <w:tcPr>
            <w:tcW w:w="4960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4185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center"/>
              <w:rPr>
                <w:rFonts w:ascii="PT Astra Serif" w:eastAsia="Carlito" w:hAnsi="PT Astra Serif" w:cs="Times New Roman"/>
                <w:i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351" w:type="dxa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</w:tr>
      <w:tr w:rsidR="00DC147A" w:rsidTr="00DC147A">
        <w:trPr>
          <w:trHeight w:val="299"/>
        </w:trPr>
        <w:tc>
          <w:tcPr>
            <w:tcW w:w="4960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4185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center"/>
              <w:rPr>
                <w:rFonts w:ascii="PT Astra Serif" w:eastAsia="Carlito" w:hAnsi="PT Astra Serif" w:cs="Times New Roman"/>
                <w:i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351" w:type="dxa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</w:tr>
      <w:tr w:rsidR="00DC147A" w:rsidTr="00DC147A">
        <w:trPr>
          <w:trHeight w:val="299"/>
        </w:trPr>
        <w:tc>
          <w:tcPr>
            <w:tcW w:w="4960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4185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i/>
                <w:color w:val="000000" w:themeColor="text1"/>
                <w:szCs w:val="26"/>
                <w:highlight w:val="white"/>
              </w:rPr>
              <w:t>(наименование проекта)</w:t>
            </w:r>
          </w:p>
        </w:tc>
        <w:tc>
          <w:tcPr>
            <w:tcW w:w="35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,</w:t>
            </w:r>
          </w:p>
        </w:tc>
      </w:tr>
      <w:tr w:rsidR="00DC147A" w:rsidTr="00DC147A">
        <w:tc>
          <w:tcPr>
            <w:tcW w:w="226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C147A">
            <w:pPr>
              <w:spacing w:after="0" w:line="240" w:lineRule="auto"/>
              <w:jc w:val="both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реализованного</w:t>
            </w:r>
          </w:p>
        </w:tc>
        <w:tc>
          <w:tcPr>
            <w:tcW w:w="2975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425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</w:p>
        </w:tc>
      </w:tr>
      <w:tr w:rsidR="00DC147A" w:rsidTr="00DC147A">
        <w:tc>
          <w:tcPr>
            <w:tcW w:w="226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75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jc w:val="both"/>
              <w:rPr>
                <w:rFonts w:ascii="PT Astra Serif" w:eastAsia="Carlito" w:hAnsi="PT Astra Serif" w:cs="Times New Roman"/>
                <w:i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425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</w:p>
        </w:tc>
      </w:tr>
      <w:tr w:rsidR="00DC147A" w:rsidTr="00DC147A">
        <w:tc>
          <w:tcPr>
            <w:tcW w:w="226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75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jc w:val="both"/>
              <w:rPr>
                <w:rFonts w:ascii="PT Astra Serif" w:eastAsia="Carlito" w:hAnsi="PT Astra Serif" w:cs="Times New Roman"/>
                <w:i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425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rPr>
                <w:rFonts w:ascii="PT Astra Serif" w:eastAsia="Arial" w:hAnsi="PT Astra Serif" w:cs="Arial"/>
              </w:rPr>
            </w:pPr>
          </w:p>
        </w:tc>
      </w:tr>
      <w:tr w:rsidR="00DC147A" w:rsidTr="00DC147A">
        <w:tc>
          <w:tcPr>
            <w:tcW w:w="226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jc w:val="both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2975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C147A">
            <w:pPr>
              <w:spacing w:after="0" w:line="240" w:lineRule="auto"/>
              <w:jc w:val="both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i/>
                <w:color w:val="000000" w:themeColor="text1"/>
                <w:szCs w:val="26"/>
                <w:highlight w:val="white"/>
              </w:rPr>
              <w:t>(наименование НКО)</w:t>
            </w:r>
          </w:p>
        </w:tc>
        <w:tc>
          <w:tcPr>
            <w:tcW w:w="425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C147A">
            <w:pPr>
              <w:spacing w:after="0" w:line="240" w:lineRule="auto"/>
              <w:jc w:val="both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 xml:space="preserve">(далее - проект) и делаю вывод </w:t>
            </w:r>
          </w:p>
        </w:tc>
      </w:tr>
      <w:tr w:rsidR="00DC147A" w:rsidTr="00DC147A">
        <w:tc>
          <w:tcPr>
            <w:tcW w:w="9496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C147A">
            <w:pPr>
              <w:spacing w:after="0" w:line="240" w:lineRule="auto"/>
              <w:jc w:val="both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об успешности реализации проекта*:</w:t>
            </w:r>
          </w:p>
        </w:tc>
      </w:tr>
      <w:tr w:rsidR="00DC147A" w:rsidTr="00DC147A">
        <w:tc>
          <w:tcPr>
            <w:tcW w:w="9496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</w:tr>
      <w:tr w:rsidR="00DC147A" w:rsidTr="00DC147A">
        <w:tc>
          <w:tcPr>
            <w:tcW w:w="1002" w:type="dxa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5371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3123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.</w:t>
            </w:r>
          </w:p>
        </w:tc>
      </w:tr>
      <w:tr w:rsidR="00DC147A" w:rsidTr="00DC147A">
        <w:tc>
          <w:tcPr>
            <w:tcW w:w="9496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Дополнительная информация**:</w:t>
            </w:r>
          </w:p>
        </w:tc>
        <w:bookmarkStart w:id="3" w:name="_GoBack"/>
        <w:bookmarkEnd w:id="3"/>
      </w:tr>
      <w:tr w:rsidR="00DC147A" w:rsidTr="00DC147A">
        <w:tc>
          <w:tcPr>
            <w:tcW w:w="9496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</w:tr>
      <w:tr w:rsidR="00DC147A" w:rsidTr="00DC147A">
        <w:tc>
          <w:tcPr>
            <w:tcW w:w="9496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</w:tr>
      <w:tr w:rsidR="00DC147A" w:rsidTr="00DC147A">
        <w:tc>
          <w:tcPr>
            <w:tcW w:w="1002" w:type="dxa"/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5371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DC147A" w:rsidRDefault="00DC147A">
            <w:pPr>
              <w:spacing w:after="0" w:line="240" w:lineRule="auto"/>
              <w:ind w:firstLine="709"/>
              <w:rPr>
                <w:rFonts w:ascii="PT Astra Serif" w:eastAsia="Carlito" w:hAnsi="PT Astra Serif" w:cs="Times New Roman"/>
                <w:color w:val="000000"/>
                <w:sz w:val="26"/>
                <w:szCs w:val="26"/>
                <w:highlight w:val="white"/>
              </w:rPr>
            </w:pPr>
          </w:p>
        </w:tc>
        <w:tc>
          <w:tcPr>
            <w:tcW w:w="3123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DC147A" w:rsidRDefault="00DC147A">
            <w:pPr>
              <w:spacing w:after="0" w:line="240" w:lineRule="auto"/>
              <w:ind w:firstLine="709"/>
              <w:jc w:val="both"/>
              <w:rPr>
                <w:rFonts w:ascii="PT Astra Serif" w:eastAsia="Arial" w:hAnsi="PT Astra Serif" w:cs="Arial"/>
              </w:rPr>
            </w:pPr>
            <w:r>
              <w:rPr>
                <w:rFonts w:ascii="PT Astra Serif" w:eastAsia="Carlito" w:hAnsi="PT Astra Serif" w:cs="Times New Roman"/>
                <w:color w:val="000000" w:themeColor="text1"/>
                <w:sz w:val="26"/>
                <w:szCs w:val="26"/>
                <w:highlight w:val="white"/>
              </w:rPr>
              <w:t>.</w:t>
            </w:r>
          </w:p>
        </w:tc>
      </w:tr>
    </w:tbl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/>
          <w:sz w:val="20"/>
          <w:szCs w:val="26"/>
          <w:highlight w:val="white"/>
        </w:rPr>
      </w:pP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/>
          <w:sz w:val="20"/>
          <w:szCs w:val="26"/>
        </w:rPr>
      </w:pP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/>
          <w:sz w:val="20"/>
          <w:szCs w:val="26"/>
        </w:rPr>
      </w:pP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/>
          <w:sz w:val="20"/>
          <w:szCs w:val="26"/>
        </w:rPr>
      </w:pP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/>
          <w:sz w:val="20"/>
          <w:szCs w:val="26"/>
        </w:rPr>
      </w:pP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/>
          <w:sz w:val="20"/>
          <w:szCs w:val="26"/>
        </w:rPr>
      </w:pP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/>
          <w:sz w:val="20"/>
          <w:szCs w:val="26"/>
        </w:rPr>
      </w:pP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color w:val="000000"/>
          <w:sz w:val="20"/>
          <w:szCs w:val="26"/>
        </w:rPr>
      </w:pP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color w:val="000000" w:themeColor="text1"/>
          <w:sz w:val="20"/>
          <w:szCs w:val="26"/>
          <w:highlight w:val="white"/>
        </w:rPr>
        <w:t>Дата и подпись главы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eastAsia="Carlito" w:hAnsi="PT Astra Serif" w:cs="Times New Roman"/>
          <w:i/>
          <w:color w:val="000000"/>
          <w:sz w:val="24"/>
          <w:szCs w:val="26"/>
        </w:rPr>
      </w:pPr>
    </w:p>
    <w:p w:rsidR="00DC147A" w:rsidRDefault="00DC147A" w:rsidP="00DC147A">
      <w:pPr>
        <w:spacing w:after="0" w:line="240" w:lineRule="auto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i/>
          <w:color w:val="000000" w:themeColor="text1"/>
          <w:sz w:val="24"/>
          <w:szCs w:val="26"/>
        </w:rPr>
        <w:t>_______________________________________________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i/>
          <w:color w:val="000000" w:themeColor="text1"/>
          <w:sz w:val="24"/>
          <w:szCs w:val="26"/>
        </w:rPr>
        <w:t>* Вывод должен содержать информацию о том, реализован ли НКО проект, на осуществление которого предоставлена поддержка надлежащим образом (успешно, удовлетворительно или неудовлетворительно) и информацию (если имеется) о нарушениях, допущенных НКО (нецелевом использовании полученной поддержки и (или) нарушении (неисполнении) иных существенных условий ее предоставления).</w:t>
      </w:r>
    </w:p>
    <w:p w:rsidR="00DC147A" w:rsidRDefault="00DC147A" w:rsidP="00DC147A">
      <w:pPr>
        <w:spacing w:after="0" w:line="240" w:lineRule="auto"/>
        <w:ind w:firstLine="709"/>
        <w:jc w:val="both"/>
        <w:rPr>
          <w:rFonts w:ascii="PT Astra Serif" w:hAnsi="PT Astra Serif"/>
        </w:rPr>
      </w:pPr>
      <w:r>
        <w:rPr>
          <w:rFonts w:ascii="PT Astra Serif" w:eastAsia="Carlito" w:hAnsi="PT Astra Serif" w:cs="Times New Roman"/>
          <w:i/>
          <w:color w:val="000000" w:themeColor="text1"/>
          <w:sz w:val="24"/>
          <w:szCs w:val="26"/>
        </w:rPr>
        <w:t>** Предоставляется по желанию</w:t>
      </w:r>
    </w:p>
    <w:p w:rsidR="00D8741C" w:rsidRPr="00DC147A" w:rsidRDefault="00D8741C" w:rsidP="00DC147A"/>
    <w:sectPr w:rsidR="00D8741C" w:rsidRPr="00DC1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T Astra Serif">
    <w:altName w:val="Times New Roman"/>
    <w:charset w:val="01"/>
    <w:family w:val="roman"/>
    <w:pitch w:val="variable"/>
  </w:font>
  <w:font w:name="Carlito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0EA"/>
    <w:rsid w:val="000055A6"/>
    <w:rsid w:val="003F1FB7"/>
    <w:rsid w:val="004770EA"/>
    <w:rsid w:val="005402D7"/>
    <w:rsid w:val="008244E9"/>
    <w:rsid w:val="00B35CAF"/>
    <w:rsid w:val="00D8741C"/>
    <w:rsid w:val="00D97BE0"/>
    <w:rsid w:val="00DC147A"/>
    <w:rsid w:val="00DE260F"/>
    <w:rsid w:val="00E2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3C87D"/>
  <w15:chartTrackingRefBased/>
  <w15:docId w15:val="{FD58A399-27F6-4EE2-9FB9-B0DA5DF16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47A"/>
    <w:pPr>
      <w:suppressAutoHyphens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1409</TotalTime>
  <Pages>1</Pages>
  <Words>2675</Words>
  <Characters>15248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HyperPC</dc:creator>
  <cp:keywords/>
  <dc:description/>
  <cp:lastModifiedBy>HyperPC</cp:lastModifiedBy>
  <cp:revision>7</cp:revision>
  <dcterms:created xsi:type="dcterms:W3CDTF">2025-12-06T08:30:00Z</dcterms:created>
  <dcterms:modified xsi:type="dcterms:W3CDTF">2025-12-08T06:02:00Z</dcterms:modified>
</cp:coreProperties>
</file>